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3883659</wp:posOffset>
            </wp:positionV>
            <wp:extent cx="7560310" cy="6053455"/>
            <wp:effectExtent b="0" l="0" r="0" t="0"/>
            <wp:wrapNone/>
            <wp:docPr descr="C:\Users\A.Platko\AppData\Local\Microsoft\Windows\INetCache\Content.Word\техописание1.jpg" id="19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7"/>
                    <a:srcRect b="0" l="0" r="0" t="4336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05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(Геномная инженерия)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-1269</wp:posOffset>
            </wp:positionH>
            <wp:positionV relativeFrom="page">
              <wp:align>bottom</wp:align>
            </wp:positionV>
            <wp:extent cx="7560310" cy="6053455"/>
            <wp:effectExtent b="0" l="0" r="0" t="0"/>
            <wp:wrapNone/>
            <wp:docPr descr="C:\Users\A.Platko\AppData\Local\Microsoft\Windows\INetCache\Content.Word\техописание1.jpg" id="18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7"/>
                    <a:srcRect b="0" l="0" r="0" t="4336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05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 включает в себя следующие разделы: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 ОПИСАНИЕ ПРОФЕССИОНАЛЬНОЙ КОМПЕТЕНЦИИ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ВАЖНОСТЬ И ЗНАЧЕНИЕ НАСТОЯЩЕГО ДОКУМЕНТА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АССОЦИИРОВАННЫЕ ДОКУМЕНТЫ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СПЕЦИФИКАЦИЯ СТАНДАРТА WORLDSKILLS (WSSS)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ОБЩИЕ СВЕДЕНИЯ О СПЕЦИФИКАЦИИ СТАНДАРТОВ WORLDSKILLS (WSSS)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ОЦЕНОЧНАЯ СТРАТЕГИЯ И ТЕХНИЧЕСКИЕ ОСОБЕННОСТИ ОЦЕНКИ</w:t>
            </w:r>
          </w:hyperlink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ОСНОВНЫЕ ТРЕБОВАНИЯ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СХЕМА ВЫСТАВЛЕНИЯ ОЦЕНКИ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ОБЩИЕ УКАЗАНИЯ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КРИТЕРИИ ОЦЕНКИ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СУБКРИТЕРИИ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АСПЕКТЫ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4.5. МНЕНИЕ СУДЕЙ (СУДЕЙСКАЯ ОЦЕНКА)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4.6. ИЗМЕРИМАЯ ОЦЕНКА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4.7. ИСПОЛЬЗОВАНИЕ ИЗМЕРИМЫХ И СУДЕЙСКИХ ОЦЕНОК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4.8. СПЕЦИФИКАЦИЯ ОЦЕНКИ КОМПЕТЕНЦИИ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4.9. РЕГЛАМЕНТ ОЦЕНКИ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КОНКУРСНОЕ ЗАДАНИЕ</w:t>
            </w:r>
          </w:hyperlink>
          <w:hyperlink w:anchor="_heading=h.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ОСНОВНЫЕ ТРЕБОВАНИЯ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 СТРУКТУРА КОНКУРСНОГО ЗАДАНИЯ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5.3. ТРЕБОВАНИЯ К РАЗРАБОТКЕ КОНКУРСНОГО ЗАДАНИЯ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5.4. РАЗРАБОТКА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 УТВЕРЖДЕНИЕ КОНКУРСНОГО ЗАДАНИЯ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5.6. СВОЙСТВА МАТЕРИАЛА И ИНСТРУКЦИИ ПРОИЗВОДИТЕЛЯ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УПРАВЛЕНИЕ КОМПЕТЕНЦИЕЙ И ОБЩЕНИЕ</w:t>
            </w:r>
          </w:hyperlink>
          <w:hyperlink w:anchor="_heading=h.2bn6ws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 ДИСКУССИОННЫЙ ФОРУМ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6.2. ИНФОРМАЦИЯ ДЛЯ УЧАСТНИКОВ ЧЕМПИОНАТА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6.3. АРХИВ КОНКУРСНЫХ ЗАДАНИЙ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6.4. УПРАВЛЕНИЕ КОМПЕТЕНЦИЕЙ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ТРЕБОВАНИЯ охраны труда и ТЕХНИКИ БЕЗОПАСНОСТИ</w:t>
            </w:r>
          </w:hyperlink>
          <w:hyperlink w:anchor="_heading=h.2p2csr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МАТЕРИАЛЫ И ОБОРУДОВАНИЕ</w:t>
            </w:r>
          </w:hyperlink>
          <w:hyperlink w:anchor="_heading=h.23ckvv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 ИНФРАСТРУКТУРНЫЙ ЛИСТ</w:t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8.3. МАТЕРИАЛЫ И ОБОРУДОВАНИЕ, ЗАПРЕЩЕННЫЕ НА ПЛОЩАДКЕ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8.4. ПРЕДЛАГАЕМАЯ СХЕМА КОНКУРСНОЙ ПЛОЩАДКИ</w:t>
              <w:tab/>
              <w:t xml:space="preserve">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grqru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360" w:right="0" w:hanging="36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«ВОРЛДСКИЛЛС РОССИЯ»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И ОПИСАНИЕ ПРОФЕССИОНАЛЬНОЙ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Геномная инженерия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  <w:tab w:val="left" w:pos="3969"/>
          <w:tab w:val="left" w:pos="4820"/>
          <w:tab w:val="left" w:pos="623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Геномная (генная, генетическая) инженерия - это совокупность приемов, методов и технологий выделения генов из организма, осуществления манипуляций с генами (в том числе получения рекомбинантных РНК и ДНК) и введения их в другие организмы. 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прикладной геномной инженерии заключается в конструировании рекомбинантных молекул ДНК, которые при внедрении в генетический аппарат придавали бы организму свойства, полезные для человека.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4820"/>
          <w:tab w:val="left" w:pos="623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Сфера профессиональной деятельности специалиста в области геномной инженерии: программирование генома под заданные параметры (манипулирование генами для придания организму желаемого фенотипа). В области растениеводства и животноводства геномная инженерия позволяет получать суперпродуцентов для нужд сельского хозяйства и охраны окружающей среды.</w:t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 в области геномной инженерии востребован во многих отраслях народного хозяйства.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Геномный инженер в области биофармацевтики занимается получением и оптимизацией свойств микроорганизмов, продуцирующих биофармацевтические субстанции.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Геномный инженер в области диагностики занимается получением и оптимизацией свойств микроорганизмов, продуцирующих белки, применяемые в диагностических тестах.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Геномный инженер, специализирующийся по использованию генно-модифицированных продуктов в сельском хозяйстве (ГМО-агроном) занимается получением биологических средств защиты растений, кормовых добавок, получением более продуктивных и устойчивых к различным заболеваниям сортов сельскохозяйственных растений и улучшением качества животноводческой продукции. В России активно развиваются многие отрасли сельского хозяйства, включая растениеводство и животноводство. Использование технологий редактирования генома является уникальным инструментом для получения продуктов с заданными свойствами и исключительных достижений в сельском хозяйстве. Профессия геномного инженера (ГМО-агронома) связана с получением генно-модифицированных продуктов и их использованием в сельском хозяйстве.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5"/>
          <w:tab w:val="left" w:pos="3360"/>
          <w:tab w:val="left" w:pos="3920"/>
          <w:tab w:val="left" w:pos="3969"/>
          <w:tab w:val="left" w:pos="4480"/>
          <w:tab w:val="left" w:pos="4820"/>
          <w:tab w:val="left" w:pos="5040"/>
          <w:tab w:val="left" w:pos="5600"/>
          <w:tab w:val="left" w:pos="6160"/>
          <w:tab w:val="left" w:pos="6237"/>
          <w:tab w:val="left" w:pos="6720"/>
        </w:tabs>
        <w:spacing w:after="57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Объектами профессиональной деятельности являются: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Микроорганизмы;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Клеточные линии насекомых, растений и млекопитающих;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Вирусы насекомых, растений и млекопитающих;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Многоклеточные организмы (растения, мыши, домашние животные и т.д.);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Ферменты и векторы, используемые в генно-инженерных исследованиях (нуклеазы, полимеразы, лигазы);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Оборудование для генно-инженерных исследований;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5"/>
          <w:tab w:val="left" w:pos="3360"/>
          <w:tab w:val="left" w:pos="3920"/>
          <w:tab w:val="left" w:pos="3969"/>
          <w:tab w:val="left" w:pos="4480"/>
          <w:tab w:val="left" w:pos="4820"/>
          <w:tab w:val="left" w:pos="5040"/>
          <w:tab w:val="left" w:pos="5600"/>
          <w:tab w:val="left" w:pos="6160"/>
          <w:tab w:val="left" w:pos="6237"/>
          <w:tab w:val="left" w:pos="6720"/>
        </w:tabs>
        <w:spacing w:after="57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Базы данных нуклеотидных и аминокислотных последовательностей.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5"/>
          <w:tab w:val="left" w:pos="3360"/>
          <w:tab w:val="left" w:pos="3920"/>
          <w:tab w:val="left" w:pos="3969"/>
          <w:tab w:val="left" w:pos="4480"/>
          <w:tab w:val="left" w:pos="4820"/>
          <w:tab w:val="left" w:pos="5040"/>
          <w:tab w:val="left" w:pos="5600"/>
          <w:tab w:val="left" w:pos="6160"/>
          <w:tab w:val="left" w:pos="6237"/>
          <w:tab w:val="left" w:pos="6720"/>
        </w:tabs>
        <w:spacing w:after="57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 в области геномной инженерии осуществляет следующие виды деятельности: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5"/>
          <w:tab w:val="left" w:pos="3360"/>
          <w:tab w:val="left" w:pos="3920"/>
          <w:tab w:val="left" w:pos="3969"/>
          <w:tab w:val="left" w:pos="4480"/>
          <w:tab w:val="left" w:pos="4820"/>
          <w:tab w:val="left" w:pos="5040"/>
          <w:tab w:val="left" w:pos="5600"/>
          <w:tab w:val="left" w:pos="6160"/>
          <w:tab w:val="left" w:pos="6237"/>
          <w:tab w:val="left" w:pos="6720"/>
        </w:tabs>
        <w:spacing w:after="57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постановка практических экспериментов в области молекулярной биологии и, в частности, генной инженерии.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5"/>
          <w:tab w:val="left" w:pos="3360"/>
          <w:tab w:val="left" w:pos="3920"/>
          <w:tab w:val="left" w:pos="3969"/>
          <w:tab w:val="left" w:pos="4480"/>
          <w:tab w:val="left" w:pos="4820"/>
          <w:tab w:val="left" w:pos="5040"/>
          <w:tab w:val="left" w:pos="5600"/>
          <w:tab w:val="left" w:pos="6160"/>
          <w:tab w:val="left" w:pos="6237"/>
          <w:tab w:val="left" w:pos="6720"/>
        </w:tabs>
        <w:spacing w:after="57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манипуляции с нуклеиновыми кислотами, белками и клеточными культурами различных организмов (выделение, ферментативное расщепление, амплификация, клонирование, анализ и прочее) и требуемым для этих манипуляций оборудованием.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 профессионально важным качествам специалиста в области геномной инженерии относятся: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системное и критическое мышление;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межотраслевая коммуникация;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организованность;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ответственность;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творческий подход;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готовность к обучению и повышению квалификации на протяжении всей карьеры;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умение грамотно распределить рабочее время;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умение решать сложные задачи;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аналитическое и экологическое мышление.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способность быстро реагировать на ситуацию.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 в области геномной инженерии должен обладать такими личностными качествами, как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аккуратность;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внимательность;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коммуникативные навыки;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хорошее здоровье;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самомотивация;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стрессоустойчивость.</w:t>
      </w:r>
    </w:p>
    <w:p w:rsidR="00000000" w:rsidDel="00000000" w:rsidP="00000000" w:rsidRDefault="00000000" w:rsidRPr="00000000" w14:paraId="0000006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6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 по компетенции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7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6646"/>
        <w:gridCol w:w="2258"/>
        <w:tblGridChange w:id="0">
          <w:tblGrid>
            <w:gridCol w:w="705"/>
            <w:gridCol w:w="6646"/>
            <w:gridCol w:w="225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5b9bd5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5b9bd5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Важность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44546a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44546a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работы, владение инструментом и оборудованием 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44546a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создания и назначение генно-инженерной лаборатории;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предназначение всех помещений и зон генно-инженерной лаборатории;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работы с оборудованием и инструментами, применяемыми в генно-инженерной лаборатории;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соблюдения условий работы для  предотвращения контаминации;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ведения и оформления рабочего журнала и оформления результатов.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средства индивидуальной защиты, а также ухаживать за ними;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организовывать рабочее место;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приготовление и дозирование реагентов;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оборудованием и инструментами генно-инженерной лаборатории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(в т.ч. автоматический дозатор, амплификатор, твердотельный термостат, камера для электрофореза, весы, центрифуга-вортекс, микроцентрифуга, суховоздушный терморстат, спектрофотометр, ламинарный бокс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уборку рабочего места, утилизировать расходные материалы, растворы и реактивы в соответствии с инструкциями.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Технология работы с культурами микроорганизмов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ffff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микроорганизмов в природе, в жизни человека и животных;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группы микроорганизмов, их классификацию;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составления питательных сред для культивирования микроорганизмов (бактерий и дрожжей);  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способы приготовления и использования компетентных клеток бактерий;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приемы приготовления питательных сред принципы использования антибиотиков;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приготовления антибиотиков;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дезинфицирующие растворы, методы их изготовления, использования и хранения.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обеспечивать асептические условия работы с биоматериалами;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готовить, применять и хранить дезинфицирующие растворы;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готовить, разливать и хранить питательные среды;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и хранить антибиотики для питательных сред;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посевы различными инструментами;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музейную культуру;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забор образцов клонов для анализа;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компетентные клетки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E.coli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нарабатывать и концентрировать клетки микроорганизмов для последующей обработки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трансформацию компетентных клеток микроорганизмов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 работы с биоинформатическими программами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ключевые понятия и методы молекулярной биологии;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организации и работы генов;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организации и работы с   базами данных нуклеотидных последовательностей;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инструменты биоинформатических программ и их назначение;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проведения теоретических расчетов для генно-инженерных работ.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последовательности ДНК с применением биоинформатических программ;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сайты рестрикции и открытые рамки считывания в целевом гене;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длину рестрикционных фрагментов;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праймеры для проведения амплификации;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строить рестрикционные карты;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составлять план генно-инженерной работы.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 работы с ДНК 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и методы выделения нуклеиновых кислот из разных источников;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определения концентрации препарата ДНК, степени его чистоты и качества;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очистки и концентрирования ДНК;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проведения ферментативных реакций - полимеразной цепной реакции, реакции рестрикции, реакции лигирования;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проведения расчетов для приготовления реакционных смесей;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метод выделения ДНК в зависимости от типа представленного образца (осадок бактериальной культуры, фрагмент в агарозном или акриламидном геле и др);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различные методы определения концентрации препарата ДНК в зависимости от имеющихся реактивов и оборудования;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различные методы очистки и концентрирования препарата ДНК, в зависимости от источника загрязнения и исходного состояния препарата;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составлять реакционные смеси используя компоненты ферментативных реакций (полимеразная цепная реакция, лигирование, рестрикция) в порядке, обеспечивающем их полную работоспособность;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соблюдать заданный протокол проведения ферментативной реакции;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результаты проведенных ферментативных реакций.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 гель-электрофореза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Теоретические основы методов разделения нуклеиновых кислот с помощью электрофореза;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и особенности различных типов электрофореза;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применения того или иного типа геля;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 выбора типа и концентрации буфера для проведения электрофореза.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тип и концентрацию геля, оптимальные для разделения фрагментов ДНК;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оптимальный тип и концентрацию буфера для электрофореза;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краситель для внесения образца в зависимости от задачи электрофореза;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параметры электрического тока в зависимости от типа геля и задачи электрофореза;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современными способами фиксации и документирования результатов электрофореза. 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shd w:fill="323e4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E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0E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0F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0F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ОБЩИЕ УКАЗАНИЯ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0F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СУБКРИТЕРИИ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АСПЕКТЫ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7"/>
        <w:gridCol w:w="947"/>
        <w:gridCol w:w="1286"/>
        <w:gridCol w:w="1161"/>
        <w:gridCol w:w="1032"/>
        <w:gridCol w:w="775"/>
        <w:gridCol w:w="1289"/>
        <w:gridCol w:w="1682"/>
        <w:tblGridChange w:id="0">
          <w:tblGrid>
            <w:gridCol w:w="1457"/>
            <w:gridCol w:w="947"/>
            <w:gridCol w:w="1286"/>
            <w:gridCol w:w="1161"/>
            <w:gridCol w:w="1032"/>
            <w:gridCol w:w="775"/>
            <w:gridCol w:w="1289"/>
            <w:gridCol w:w="1682"/>
          </w:tblGrid>
        </w:tblGridChange>
      </w:tblGrid>
      <w:tr>
        <w:trPr>
          <w:cantSplit w:val="0"/>
          <w:trHeight w:val="1538" w:hRule="atLeast"/>
          <w:tblHeader w:val="0"/>
        </w:trPr>
        <w:tc>
          <w:tcPr>
            <w:gridSpan w:val="6"/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баллов за раздел WSSS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спецификации стандартов worldskills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 каждый раздел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restart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Разделы Спецификации стандарта WS (WSSS)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2" w:hanging="17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2" w:hanging="17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Merge w:val="continue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tcBorders>
              <w:top w:color="acb9ca" w:space="0" w:sz="4" w:val="single"/>
              <w:left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баллов за 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5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5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5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4869"/>
        <w:gridCol w:w="1357"/>
        <w:gridCol w:w="1701"/>
        <w:gridCol w:w="1228"/>
        <w:gridCol w:w="8"/>
        <w:tblGridChange w:id="0">
          <w:tblGrid>
            <w:gridCol w:w="857"/>
            <w:gridCol w:w="4869"/>
            <w:gridCol w:w="1357"/>
            <w:gridCol w:w="1701"/>
            <w:gridCol w:w="1228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cb9ca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</w:tc>
        <w:tc>
          <w:tcPr>
            <w:gridSpan w:val="4"/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cb9ca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Мнение судей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Измеримая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Проведение посева клеток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E.coli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Планирование эксперимента по клонированию гена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bottom"/>
          </w:tcPr>
          <w:p w:rsidR="00000000" w:rsidDel="00000000" w:rsidP="00000000" w:rsidRDefault="00000000" w:rsidRPr="00000000" w14:paraId="00000174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Технология работы с ДНК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  <w:vAlign w:val="bottom"/>
          </w:tcPr>
          <w:p w:rsidR="00000000" w:rsidDel="00000000" w:rsidP="00000000" w:rsidRDefault="00000000" w:rsidRPr="00000000" w14:paraId="00000179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Анализ результатов трансформации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323e4f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acb9ca" w:space="0" w:sz="4" w:val="single"/>
              <w:left w:color="acb9ca" w:space="0" w:sz="4" w:val="single"/>
              <w:bottom w:color="acb9ca" w:space="0" w:sz="4" w:val="single"/>
              <w:right w:color="acb9c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A. Проведение посева клеток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B. Планирование эксперимента по клонированию гена.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C. Анализ образцов на наличие целевого гена методом ПЦР.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D. Рестрикционный анализ плазмидной ДНК.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A. Проведение посева клеток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оценивается организация работы, владение инструментами и оборудованием (в том числе навыки, соблюдение асептики и антисептики); технология работы с культурами микроорганизмов, навыки по приготовлению культуральных сред и антибиотиков, проведению посева. Качество проведения посева оценивается на следующий день по факту появления отдельных клонов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Coli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отсутствия роста посторонних микроорганизмов.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B. Планирование эксперимента по клонированию гена.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оценивается знание и понимание ключевых понятий молекулярной биологии, организации и работы генов и сути основных методов генно-инженерных работ, навыки работы с современными биоинформатическими программами и базами данных. В рабочем журнале должны быть описаны основные этапы эксперимента с указанием подобранных параметров для каждого этапа работы.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проводится по соответствию теоретических расчетов запланированного эксперимента по клонированию гена исходной задаче, в том числе длина олигонуклеотидов, температура отжига, время элонгации и параметры, а также полнота разработанного плана генно-инженерной работы. 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C. Анализ образцов на наличие целевого гена методом ПЦР.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оценивается организация работы, владение инструментами и оборудованием для проведения полимеразной цепной реакции, знание и понимание принципов ферментативных реакций, навыки по отбору образцов культур, подбору методов выделения ДНК, составления реакционных смесей и соблюдения протокола реакции, знание теоретических основ разделения нуклеиновых кислот, навыки проведения гель-электрофореза, анализа результатов полимеразной цепной реакции.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производится по качеству задокументированного геля, и корректному определению образцов, содержащих целевой участок целевого гена.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D. Рестрикционный анализ плазмидной ДНК.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оценивается организация работы, владение инструментами и оборудованием для проведения реакции рестрикции, знание и понимание принципов ферментативных реакций, навыки составления реакционных смесей и соблюдения протокола реакции,  знание теоретических основ разделения нуклеиновых кислот, навыки проведения гель-электрофореза и анализа результатов рестрикционного анализа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проводится по соответствию экспериментально полученных рестрикционных фрагментов анализируемого образца теоретически рассчитанным количеству и длинам фрагментов.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Возможные штрафные санкции: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единичного нарушения правил Техники Безопасности участник может быть оштрафован жюри при выставлении оценки;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систематического нарушения правил Техники Безопасности участник может быть дисквалифицирован;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использования средств коммуникации, материалов или устройств, запрещенных на площадке (п 8.4), участник может быть дисквалифицирован;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может быть оштрафован жюри при выставлении оценки в случае единичной коммуникации с другими участниками соревнования;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может быть дисквалифицирован в случае систематической коммуникации с другими участниками соревнования;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может быть дисквалифицирован в случае обнаружения попытки выноса с конкурсной площадки реактивов или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1A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Конкурсного задания не должна быть менее 15 и более 22 часов.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Возрастной ценз участников для выполнения Конкурсного задания от 16 до 22 лет.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состоит четырех независимых модулей, которые оцениваются по отдельности.</w:t>
      </w:r>
    </w:p>
    <w:p w:rsidR="00000000" w:rsidDel="00000000" w:rsidP="00000000" w:rsidRDefault="00000000" w:rsidRPr="00000000" w14:paraId="000001AC">
      <w:pPr>
        <w:spacing w:line="360" w:lineRule="auto"/>
        <w:ind w:left="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A. Проведение посева клеток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E.coli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ind w:left="70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Конкурсным заданием Модуля A является посев клеток </w:t>
      </w:r>
      <w:r w:rsidDel="00000000" w:rsidR="00000000" w:rsidRPr="00000000">
        <w:rPr>
          <w:i w:val="1"/>
          <w:sz w:val="28"/>
          <w:szCs w:val="28"/>
          <w:rtl w:val="0"/>
        </w:rPr>
        <w:t xml:space="preserve">E. coli</w:t>
      </w:r>
      <w:r w:rsidDel="00000000" w:rsidR="00000000" w:rsidRPr="00000000">
        <w:rPr>
          <w:sz w:val="28"/>
          <w:szCs w:val="28"/>
          <w:rtl w:val="0"/>
        </w:rPr>
        <w:t xml:space="preserve">, содержащих рекомбинантную плазмидную ДНК, несущую ген устойчивости к ампициллину, методом истощающего штриха на предварительно приготовленные конкурсантом чашки Петри с агаризованной средой.</w:t>
      </w:r>
    </w:p>
    <w:p w:rsidR="00000000" w:rsidDel="00000000" w:rsidP="00000000" w:rsidRDefault="00000000" w:rsidRPr="00000000" w14:paraId="000001A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ind w:left="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B. Планирование эксперимента по клонированию гена</w:t>
      </w:r>
    </w:p>
    <w:p w:rsidR="00000000" w:rsidDel="00000000" w:rsidP="00000000" w:rsidRDefault="00000000" w:rsidRPr="00000000" w14:paraId="000001B0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модуль является теоретическим - используя доступные биоиформационные ресурсы (UGENE или аналог) участнику необходимо разработать план эксперимента по клонированию целевого гена, в том числе:</w:t>
      </w:r>
    </w:p>
    <w:p w:rsidR="00000000" w:rsidDel="00000000" w:rsidP="00000000" w:rsidRDefault="00000000" w:rsidRPr="00000000" w14:paraId="000001B1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подобрать олигонуклеотиды для амплификации заданного участка ДНК и последующего переноса его в заданную плазмиду, по соответствующим сайтам рестрикции;</w:t>
      </w:r>
    </w:p>
    <w:p w:rsidR="00000000" w:rsidDel="00000000" w:rsidP="00000000" w:rsidRDefault="00000000" w:rsidRPr="00000000" w14:paraId="000001B2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определить параметры режима амплификации (температура отжига, время элонгации, количество циклов);</w:t>
      </w:r>
    </w:p>
    <w:p w:rsidR="00000000" w:rsidDel="00000000" w:rsidP="00000000" w:rsidRDefault="00000000" w:rsidRPr="00000000" w14:paraId="000001B3">
      <w:pPr>
        <w:spacing w:line="360" w:lineRule="auto"/>
        <w:ind w:firstLine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подобрать рестриктазы, позволяющие подтвердить наличие встройки целевого гена в конечной плазмиде методом рестрикционного анализа. </w:t>
      </w:r>
    </w:p>
    <w:p w:rsidR="00000000" w:rsidDel="00000000" w:rsidP="00000000" w:rsidRDefault="00000000" w:rsidRPr="00000000" w14:paraId="000001B4">
      <w:pPr>
        <w:spacing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предоставляются в виде плана эксперимента с перечислением основных процедур и подобранных параметров (олигонуклеотидов, программы амплификации, подобранных рестриктаз и вычисленных длин рестрикционных фрагментов).</w:t>
      </w:r>
    </w:p>
    <w:p w:rsidR="00000000" w:rsidDel="00000000" w:rsidP="00000000" w:rsidRDefault="00000000" w:rsidRPr="00000000" w14:paraId="000001B5">
      <w:pPr>
        <w:spacing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60" w:lineRule="auto"/>
        <w:ind w:left="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C. Анализ образцов на наличие целевого гена методом ПЦР </w:t>
      </w:r>
    </w:p>
    <w:p w:rsidR="00000000" w:rsidDel="00000000" w:rsidP="00000000" w:rsidRDefault="00000000" w:rsidRPr="00000000" w14:paraId="000001B7">
      <w:pPr>
        <w:spacing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Объектами исследований при выполнении конкурсного задания Модуля C служат колонии клеток </w:t>
      </w:r>
      <w:r w:rsidDel="00000000" w:rsidR="00000000" w:rsidRPr="00000000">
        <w:rPr>
          <w:i w:val="1"/>
          <w:sz w:val="28"/>
          <w:szCs w:val="28"/>
          <w:rtl w:val="0"/>
        </w:rPr>
        <w:t xml:space="preserve">E. coli</w:t>
      </w:r>
      <w:r w:rsidDel="00000000" w:rsidR="00000000" w:rsidRPr="00000000">
        <w:rPr>
          <w:sz w:val="28"/>
          <w:szCs w:val="28"/>
          <w:rtl w:val="0"/>
        </w:rPr>
        <w:t xml:space="preserve">. Необходимо проанализировать колонии клеток, на наличие целевой плазмиды методом ПЦР-амплификации с последующим гель-электрофорезом с сохранением результатов в виде фотографии полученного геля.</w:t>
      </w:r>
    </w:p>
    <w:p w:rsidR="00000000" w:rsidDel="00000000" w:rsidP="00000000" w:rsidRDefault="00000000" w:rsidRPr="00000000" w14:paraId="000001B8">
      <w:pPr>
        <w:spacing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360" w:lineRule="auto"/>
        <w:ind w:left="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D. Рестрикционный анализ плазмидной ДНК </w:t>
      </w:r>
    </w:p>
    <w:p w:rsidR="00000000" w:rsidDel="00000000" w:rsidP="00000000" w:rsidRDefault="00000000" w:rsidRPr="00000000" w14:paraId="000001B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выполнении конкурсного задания Модуля D конкурсантам предстоит провести рестрикционный анализ выделенной из колоний </w:t>
      </w:r>
      <w:r w:rsidDel="00000000" w:rsidR="00000000" w:rsidRPr="00000000">
        <w:rPr>
          <w:i w:val="1"/>
          <w:sz w:val="28"/>
          <w:szCs w:val="28"/>
          <w:rtl w:val="0"/>
        </w:rPr>
        <w:t xml:space="preserve">E. coli</w:t>
      </w:r>
      <w:r w:rsidDel="00000000" w:rsidR="00000000" w:rsidRPr="00000000">
        <w:rPr>
          <w:sz w:val="28"/>
          <w:szCs w:val="28"/>
          <w:rtl w:val="0"/>
        </w:rPr>
        <w:t xml:space="preserve"> рекомбинантной плазмиды и проанализировать полученные рестрикционные профили. По окончании конкурсного задания конкурсанту необходимо предоставить фотографию гель-электрофореза с результатами реакции рестрикции, а также сделать выводы о количестве сайтов рестрикции и размерах рестрикционных фрагментов.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требования: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представляет собой серию из четырех независимых между собой модулей с суммарной продолжительностью рабочего времени 15 часов, для выполнения которых отводится три дня.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A. Проведение посева клеток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E.coli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часа).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B. Планирование эксперимента по клонированию гена (3 часа).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C. Анализ образцов на наличие целевого гена методом ПЦР (5 часов).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D. Рестрикционный анализ плазмидной ДНК (5 часов).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конкурсной площадке: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См. схему конкурсной площадки п.8.4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1C9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подготовки к каждому соревнованию при внесении 30% изменений к Конкурсному заданию участвуют: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эксперт;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Эксперты, принимающие участие в оценке (при необходимости привлечения главным экспертом).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Внесенные 30 % изменения в Конкурсные задания в обязательном порядке согласуются с Менеджером компетенции.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Обозначенные выше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1D4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1D6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1"/>
        <w:gridCol w:w="2259"/>
        <w:gridCol w:w="2259"/>
        <w:gridCol w:w="2800"/>
        <w:tblGridChange w:id="0">
          <w:tblGrid>
            <w:gridCol w:w="2311"/>
            <w:gridCol w:w="2259"/>
            <w:gridCol w:w="2259"/>
            <w:gridCol w:w="2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Временные рамки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Локальный чемпионат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Отборочный чемпионат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Шаблон Конкурсного задания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2 месяца до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3 месяца до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КЗ (если применимо)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месяц до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месяц до чемпионата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5b9bd5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предложений на Форум экспертов о модернизации КЗ, КО, ИЛ, ТО, ПЗ, ОТ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  <w:tc>
          <w:tcPr>
            <w:tcBorders>
              <w:top w:color="323e4f" w:space="0" w:sz="4" w:val="single"/>
              <w:left w:color="323e4f" w:space="0" w:sz="4" w:val="single"/>
              <w:bottom w:color="323e4f" w:space="0" w:sz="4" w:val="single"/>
              <w:right w:color="323e4f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1F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1F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предконкурсные обсуждения проходят на особом форуме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http://forum</w:t>
        </w:r>
      </w:hyperlink>
      <w:hyperlink r:id="rId13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s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обо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 доступны по адресу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835" cy="111887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320" y="3227220"/>
                          <a:ext cx="4635360" cy="1105560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38100</wp:posOffset>
                </wp:positionV>
                <wp:extent cx="4648835" cy="1118870"/>
                <wp:effectExtent b="0" l="0" r="0" t="0"/>
                <wp:wrapNone/>
                <wp:docPr id="1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835" cy="1118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См. документацию по технике безопасности и охране труда, предоставленную оргкомитетом чемпионата.</w:t>
      </w:r>
    </w:p>
    <w:p w:rsidR="00000000" w:rsidDel="00000000" w:rsidP="00000000" w:rsidRDefault="00000000" w:rsidRPr="00000000" w14:paraId="000002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чемпионата необходимо строго следовать требованиям техники безопасности, представленными в Инструкции по ОТ и ТБ для компетенции «Геномная инженерия».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Конкурсанты и Эксперты должны предоставить для регистрации следующие документы: справку о состоянии здоровья и отрицательный ПЦР-тест на COVID-19 (до улучшения эпидемиологической ситуации).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конкурсанты должны быть обеспечены спецодеждой, спецобувью, средствами санитарной защиты. Запрещено выходить за пределы конкурсной площадки в спецодежде.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требования безопасности при выполнении заданий каждого из Модулей см. Инструкцию по ОТ и ТБ.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окончании работы конкурсант должен убрать свое рабочее место.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окончания работ каждый участник обязан утилизировать реактивы, расходные материалы в соответствии с инструкциями (правила утилизации реактивов см. Инструкцию по ОТ и ТБ).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во время выполнения конкурсных заданий были выявлены неполадки и неисправности оборудования и инструмента, и других факторах, влияющих на безопасность выполнения конкурсного задания, об этом необходимо сообщить эксперту.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Компетенция не подразумевает обязательный тулбокс.</w:t>
      </w:r>
    </w:p>
    <w:p w:rsidR="00000000" w:rsidDel="00000000" w:rsidP="00000000" w:rsidRDefault="00000000" w:rsidRPr="00000000" w14:paraId="000002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Также категорически запрещается во время официального времени общаться с другим участником или представителем того же учебного заведения.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выявлении указанных запрещенных устройств, незамедлительно составляется протокол об отстранении конкурсанта от выполняемых заданий согласно маршрутному листу сроком не менее 2 часов. Выполнение в другое время данных заданий не допустимо.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4681855</wp:posOffset>
            </wp:positionV>
            <wp:extent cx="5878195" cy="4561840"/>
            <wp:effectExtent b="0" l="0" r="0" t="0"/>
            <wp:wrapSquare wrapText="bothSides" distB="0" distT="0" distL="114300" distR="11430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456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-188594</wp:posOffset>
            </wp:positionH>
            <wp:positionV relativeFrom="paragraph">
              <wp:posOffset>229870</wp:posOffset>
            </wp:positionV>
            <wp:extent cx="6120765" cy="4298315"/>
            <wp:effectExtent b="0" l="0" r="0" t="0"/>
            <wp:wrapSquare wrapText="bothSides" distB="0" distT="0" distL="114300" distR="114300"/>
            <wp:docPr id="2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9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grqrue" w:id="38"/>
      <w:bookmarkEnd w:id="38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13336</wp:posOffset>
            </wp:positionH>
            <wp:positionV relativeFrom="paragraph">
              <wp:posOffset>336550</wp:posOffset>
            </wp:positionV>
            <wp:extent cx="6120765" cy="4114165"/>
            <wp:effectExtent b="0" l="0" r="0" t="0"/>
            <wp:wrapSquare wrapText="bothSides" distB="0" distT="0" distL="114300" distR="11430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14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4697095</wp:posOffset>
            </wp:positionV>
            <wp:extent cx="4797425" cy="4331335"/>
            <wp:effectExtent b="0" l="0" r="0" t="0"/>
            <wp:wrapSquare wrapText="bothSides" distB="0" distT="0" distL="114300" distR="11430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4331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2c8de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23641" cy="4794083"/>
            <wp:effectExtent b="0" l="0" r="0" t="0"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3641" cy="4794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pgSz w:h="16838" w:w="11906" w:orient="portrait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center"/>
      <w:tblLayout w:type="fixed"/>
      <w:tblLook w:val="0400"/>
    </w:tblPr>
    <w:tblGrid>
      <w:gridCol w:w="5953"/>
      <w:gridCol w:w="3686"/>
      <w:tblGridChange w:id="0">
        <w:tblGrid>
          <w:gridCol w:w="5953"/>
          <w:gridCol w:w="3686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</w:tcPr>
        <w:p w:rsidR="00000000" w:rsidDel="00000000" w:rsidP="00000000" w:rsidRDefault="00000000" w:rsidRPr="00000000" w14:paraId="000002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shd w:fill="c00000" w:val="clear"/>
        </w:tcPr>
        <w:p w:rsidR="00000000" w:rsidDel="00000000" w:rsidP="00000000" w:rsidRDefault="00000000" w:rsidRPr="00000000" w14:paraId="000002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2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(Геномная инженерия)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2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4521200</wp:posOffset>
          </wp:positionH>
          <wp:positionV relativeFrom="margin">
            <wp:posOffset>-495934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17" name="image7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7.png"/>
                  <pic:cNvPicPr preferRelativeResize="0"/>
                </pic:nvPicPr>
                <pic:blipFill>
                  <a:blip r:embed="rId1"/>
                  <a:srcRect b="0" l="0" r="36221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5671820</wp:posOffset>
          </wp:positionH>
          <wp:positionV relativeFrom="paragraph">
            <wp:posOffset>-135889</wp:posOffset>
          </wp:positionV>
          <wp:extent cx="952500" cy="687070"/>
          <wp:effectExtent b="0" l="0" r="0" t="0"/>
          <wp:wrapTopAndBottom distB="0" dist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57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2c8de6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8" w:before="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a" w:default="1">
    <w:name w:val="Normal"/>
    <w:qFormat w:val="1"/>
    <w:rsid w:val="00585C9F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 w:val="1"/>
    <w:rsid w:val="00DE39D8"/>
    <w:pPr>
      <w:keepNext w:val="1"/>
      <w:spacing w:after="120" w:before="240" w:line="360" w:lineRule="auto"/>
      <w:outlineLvl w:val="0"/>
    </w:pPr>
    <w:rPr>
      <w:rFonts w:ascii="Arial" w:eastAsia="Times New Roman" w:hAnsi="Arial"/>
      <w:b w:val="1"/>
      <w:bCs w:val="1"/>
      <w:caps w:val="1"/>
      <w:color w:val="2c8de6"/>
      <w:sz w:val="36"/>
      <w:lang w:val="en-GB"/>
    </w:rPr>
  </w:style>
  <w:style w:type="paragraph" w:styleId="2">
    <w:name w:val="heading 2"/>
    <w:basedOn w:val="10"/>
    <w:next w:val="10"/>
    <w:qFormat w:val="1"/>
    <w:rsid w:val="00DE39D8"/>
    <w:pPr>
      <w:keepNext w:val="1"/>
      <w:spacing w:after="120" w:before="240" w:line="360" w:lineRule="auto"/>
      <w:outlineLvl w:val="1"/>
    </w:pPr>
    <w:rPr>
      <w:rFonts w:ascii="Arial" w:eastAsia="Times New Roman" w:hAnsi="Arial"/>
      <w:b w:val="1"/>
      <w:sz w:val="28"/>
      <w:lang w:val="en-GB"/>
    </w:rPr>
  </w:style>
  <w:style w:type="paragraph" w:styleId="3">
    <w:name w:val="heading 3"/>
    <w:basedOn w:val="10"/>
    <w:next w:val="10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10"/>
    <w:next w:val="10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eastAsia="Times New Roman" w:hAnsi="Arial"/>
      <w:b w:val="1"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 w:val="1"/>
      <w:bCs w:val="1"/>
      <w:sz w:val="28"/>
      <w:lang w:val="en-GB"/>
    </w:rPr>
  </w:style>
  <w:style w:type="paragraph" w:styleId="6">
    <w:name w:val="heading 6"/>
    <w:basedOn w:val="10"/>
    <w:next w:val="10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eastAsia="Times New Roman" w:hAnsi="Arial"/>
      <w:b w:val="1"/>
      <w:szCs w:val="20"/>
      <w:lang w:val="en-AU"/>
    </w:rPr>
  </w:style>
  <w:style w:type="paragraph" w:styleId="7">
    <w:name w:val="heading 7"/>
    <w:basedOn w:val="10"/>
    <w:next w:val="10"/>
    <w:link w:val="7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 w:val="1"/>
      <w:bCs w:val="1"/>
      <w:lang w:val="en-GB"/>
    </w:rPr>
  </w:style>
  <w:style w:type="paragraph" w:styleId="9">
    <w:name w:val="heading 9"/>
    <w:basedOn w:val="10"/>
    <w:next w:val="10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qFormat w:val="1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a3" w:customStyle="1">
    <w:name w:val="Верхний колонтитул Знак"/>
    <w:basedOn w:val="a0"/>
    <w:uiPriority w:val="99"/>
    <w:qFormat w:val="1"/>
    <w:rsid w:val="00970F49"/>
  </w:style>
  <w:style w:type="character" w:styleId="a4" w:customStyle="1">
    <w:name w:val="Нижний колонтитул Знак"/>
    <w:basedOn w:val="a0"/>
    <w:uiPriority w:val="99"/>
    <w:qFormat w:val="1"/>
    <w:rsid w:val="00970F49"/>
  </w:style>
  <w:style w:type="character" w:styleId="a5" w:customStyle="1">
    <w:name w:val="Без интервала Знак"/>
    <w:basedOn w:val="a0"/>
    <w:uiPriority w:val="1"/>
    <w:qFormat w:val="1"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 w:val="1"/>
    <w:qFormat w:val="1"/>
    <w:rsid w:val="00832EBB"/>
    <w:rPr>
      <w:color w:val="808080"/>
    </w:rPr>
  </w:style>
  <w:style w:type="character" w:styleId="a7" w:customStyle="1">
    <w:name w:val="Текст выноски Знак"/>
    <w:basedOn w:val="a0"/>
    <w:qFormat w:val="1"/>
    <w:rsid w:val="00DE39D8"/>
    <w:rPr>
      <w:rFonts w:ascii="Tahoma" w:cs="Tahoma" w:hAnsi="Tahoma"/>
      <w:sz w:val="16"/>
      <w:szCs w:val="16"/>
    </w:rPr>
  </w:style>
  <w:style w:type="character" w:styleId="11" w:customStyle="1">
    <w:name w:val="Заголовок 1 Знак"/>
    <w:basedOn w:val="a0"/>
    <w:link w:val="1"/>
    <w:qFormat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0"/>
    <w:qFormat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0"/>
    <w:link w:val="3"/>
    <w:qFormat w:val="1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0"/>
    <w:link w:val="4"/>
    <w:qFormat w:val="1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0"/>
    <w:link w:val="5"/>
    <w:qFormat w:val="1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0"/>
    <w:link w:val="6"/>
    <w:qFormat w:val="1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0"/>
    <w:link w:val="7"/>
    <w:qFormat w:val="1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0"/>
    <w:link w:val="8"/>
    <w:qFormat w:val="1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0"/>
    <w:link w:val="9"/>
    <w:qFormat w:val="1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8">
    <w:name w:val="page number"/>
    <w:qFormat w:val="1"/>
    <w:rsid w:val="00DE39D8"/>
    <w:rPr>
      <w:rFonts w:ascii="Arial" w:hAnsi="Arial"/>
      <w:sz w:val="16"/>
    </w:rPr>
  </w:style>
  <w:style w:type="character" w:styleId="a9" w:customStyle="1">
    <w:name w:val="Основной текст Знак"/>
    <w:basedOn w:val="a0"/>
    <w:semiHidden w:val="1"/>
    <w:qFormat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character" w:styleId="21" w:customStyle="1">
    <w:name w:val="Основной текст с отступом 2 Знак"/>
    <w:basedOn w:val="a0"/>
    <w:link w:val="22"/>
    <w:semiHidden w:val="1"/>
    <w:qFormat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character" w:styleId="23" w:customStyle="1">
    <w:name w:val="Основной текст 2 Знак"/>
    <w:basedOn w:val="a0"/>
    <w:semiHidden w:val="1"/>
    <w:qFormat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 w:val="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aa" w:customStyle="1">
    <w:name w:val="Текст сноски Знак"/>
    <w:basedOn w:val="a0"/>
    <w:qFormat w:val="1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b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 w:val="1"/>
    <w:rsid w:val="00DE39D8"/>
    <w:rPr>
      <w:vertAlign w:val="superscript"/>
    </w:rPr>
  </w:style>
  <w:style w:type="character" w:styleId="ac">
    <w:name w:val="FollowedHyperlink"/>
    <w:qFormat w:val="1"/>
    <w:rsid w:val="00DE39D8"/>
    <w:rPr>
      <w:color w:val="800080"/>
      <w:u w:val="single"/>
    </w:rPr>
  </w:style>
  <w:style w:type="character" w:styleId="ad" w:customStyle="1">
    <w:name w:val="цвет в таблице"/>
    <w:qFormat w:val="1"/>
    <w:rsid w:val="00DE39D8"/>
    <w:rPr>
      <w:color w:val="2c8de6"/>
    </w:rPr>
  </w:style>
  <w:style w:type="character" w:styleId="-1" w:customStyle="1">
    <w:name w:val="!Заголовок-1 Знак"/>
    <w:qFormat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character" w:styleId="210" w:customStyle="1">
    <w:name w:val="Основной текст 2 Знак1"/>
    <w:link w:val="24"/>
    <w:qFormat w:val="1"/>
    <w:rsid w:val="00DE39D8"/>
    <w:rPr>
      <w:rFonts w:ascii="Arial" w:cs="Times New Roman" w:eastAsia="Times New Roman" w:hAnsi="Arial"/>
      <w:b w:val="1"/>
      <w:sz w:val="28"/>
      <w:szCs w:val="24"/>
    </w:rPr>
  </w:style>
  <w:style w:type="character" w:styleId="ae" w:customStyle="1">
    <w:name w:val="!Текст Знак"/>
    <w:qFormat w:val="1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" w:customStyle="1">
    <w:name w:val="выделение цвет Знак"/>
    <w:qFormat w:val="1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0" w:customStyle="1">
    <w:name w:val="!Синий заголовок текста Знак"/>
    <w:qFormat w:val="1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1" w:customStyle="1">
    <w:name w:val="!Список с точками Знак"/>
    <w:qFormat w:val="1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2">
    <w:name w:val="annotation reference"/>
    <w:basedOn w:val="a0"/>
    <w:semiHidden w:val="1"/>
    <w:unhideWhenUsed w:val="1"/>
    <w:qFormat w:val="1"/>
    <w:rsid w:val="00DE39D8"/>
    <w:rPr>
      <w:sz w:val="16"/>
      <w:szCs w:val="16"/>
    </w:rPr>
  </w:style>
  <w:style w:type="character" w:styleId="af3" w:customStyle="1">
    <w:name w:val="Текст примечания Знак"/>
    <w:basedOn w:val="a0"/>
    <w:semiHidden w:val="1"/>
    <w:qFormat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4" w:customStyle="1">
    <w:name w:val="Тема примечания Знак"/>
    <w:basedOn w:val="af3"/>
    <w:semiHidden w:val="1"/>
    <w:qFormat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14" w:customStyle="1">
    <w:name w:val="Основной текст (14)_"/>
    <w:basedOn w:val="a0"/>
    <w:link w:val="143"/>
    <w:qFormat w:val="1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character" w:styleId="af5" w:customStyle="1">
    <w:name w:val="Абзац списка Знак"/>
    <w:uiPriority w:val="99"/>
    <w:qFormat w:val="1"/>
    <w:rsid w:val="00721B62"/>
    <w:rPr>
      <w:rFonts w:ascii="Calibri" w:cs="Times New Roman" w:eastAsia="Calibri" w:hAnsi="Calibri"/>
    </w:rPr>
  </w:style>
  <w:style w:type="character" w:styleId="af6" w:customStyle="1">
    <w:name w:val="Обычный (Интернет) Знак"/>
    <w:uiPriority w:val="99"/>
    <w:semiHidden w:val="1"/>
    <w:qFormat w:val="1"/>
    <w:rsid w:val="00C00353"/>
    <w:rPr>
      <w:rFonts w:ascii="Times New Roman" w:cs="Times New Roman" w:hAnsi="Times New Roman"/>
      <w:sz w:val="24"/>
      <w:szCs w:val="24"/>
    </w:rPr>
  </w:style>
  <w:style w:type="character" w:styleId="12" w:customStyle="1">
    <w:name w:val="Заголовок Знак1"/>
    <w:link w:val="af7"/>
    <w:qFormat w:val="1"/>
    <w:rsid w:val="00C00353"/>
    <w:rPr>
      <w:rFonts w:ascii="Cambria" w:cs="Times New Roman" w:eastAsia="Times New Roman" w:hAnsi="Cambria"/>
      <w:b w:val="1"/>
      <w:bCs w:val="1"/>
      <w:kern w:val="2"/>
      <w:sz w:val="32"/>
      <w:szCs w:val="32"/>
      <w:lang w:eastAsia="en-US"/>
    </w:rPr>
  </w:style>
  <w:style w:type="character" w:styleId="af8" w:customStyle="1">
    <w:name w:val="Заголовок Знак"/>
    <w:basedOn w:val="a0"/>
    <w:uiPriority w:val="10"/>
    <w:qFormat w:val="1"/>
    <w:rsid w:val="00C00353"/>
    <w:rPr>
      <w:rFonts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f9" w:customStyle="1">
    <w:name w:val="Ссылка указателя"/>
    <w:qFormat w:val="1"/>
  </w:style>
  <w:style w:type="paragraph" w:styleId="13" w:customStyle="1">
    <w:name w:val="Заголовок1"/>
    <w:basedOn w:val="10"/>
    <w:next w:val="af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fa">
    <w:name w:val="Body Text"/>
    <w:basedOn w:val="10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10"/>
    <w:next w:val="10"/>
    <w:qFormat w:val="1"/>
    <w:rsid w:val="00DE39D8"/>
    <w:pPr>
      <w:widowControl w:val="0"/>
      <w:spacing w:after="0" w:before="240" w:line="360" w:lineRule="auto"/>
      <w:jc w:val="center"/>
    </w:pPr>
    <w:rPr>
      <w:rFonts w:ascii="Arial" w:eastAsia="Times New Roman" w:hAnsi="Arial"/>
      <w:b w:val="1"/>
      <w:sz w:val="36"/>
      <w:szCs w:val="20"/>
      <w:lang w:val="en-AU"/>
    </w:rPr>
  </w:style>
  <w:style w:type="paragraph" w:styleId="afd">
    <w:name w:val="index heading"/>
    <w:basedOn w:val="10"/>
    <w:qFormat w:val="1"/>
    <w:pPr>
      <w:suppressLineNumbers w:val="1"/>
    </w:pPr>
    <w:rPr>
      <w:rFonts w:cs="Arial"/>
    </w:rPr>
  </w:style>
  <w:style w:type="paragraph" w:styleId="afe" w:customStyle="1">
    <w:name w:val="Верхний и нижний колонтитулы"/>
    <w:basedOn w:val="10"/>
    <w:qFormat w:val="1"/>
  </w:style>
  <w:style w:type="paragraph" w:styleId="aff">
    <w:name w:val="header"/>
    <w:basedOn w:val="10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10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 Spacing"/>
    <w:uiPriority w:val="1"/>
    <w:qFormat w:val="1"/>
    <w:rsid w:val="00B45AA4"/>
    <w:rPr>
      <w:rFonts w:ascii="Calibri" w:hAnsi="Calibri" w:eastAsiaTheme="minorEastAsia"/>
      <w:lang w:eastAsia="ru-RU"/>
    </w:rPr>
  </w:style>
  <w:style w:type="paragraph" w:styleId="aff2">
    <w:name w:val="Balloon Text"/>
    <w:basedOn w:val="10"/>
    <w:unhideWhenUsed w:val="1"/>
    <w:qFormat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15">
    <w:name w:val="toc 1"/>
    <w:basedOn w:val="10"/>
    <w:next w:val="10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 w:val="1"/>
      <w:szCs w:val="28"/>
      <w:lang w:val="en-AU"/>
    </w:rPr>
  </w:style>
  <w:style w:type="paragraph" w:styleId="numberedlist" w:customStyle="1">
    <w:name w:val="numbered list"/>
    <w:basedOn w:val="bullet"/>
    <w:qFormat w:val="1"/>
    <w:rsid w:val="00DE39D8"/>
  </w:style>
  <w:style w:type="paragraph" w:styleId="bullet" w:customStyle="1">
    <w:name w:val="bullet"/>
    <w:basedOn w:val="10"/>
    <w:qFormat w:val="1"/>
    <w:rsid w:val="00DE39D8"/>
    <w:pPr>
      <w:spacing w:after="0" w:line="360" w:lineRule="auto"/>
    </w:pPr>
    <w:rPr>
      <w:rFonts w:ascii="Arial" w:eastAsia="Times New Roman" w:hAnsi="Arial"/>
      <w:lang w:val="en-GB"/>
    </w:rPr>
  </w:style>
  <w:style w:type="paragraph" w:styleId="Docsubtitle1" w:customStyle="1">
    <w:name w:val="Doc subtitle1"/>
    <w:basedOn w:val="10"/>
    <w:link w:val="Docsubtitle1Char"/>
    <w:qFormat w:val="1"/>
    <w:rsid w:val="00DE39D8"/>
    <w:pPr>
      <w:spacing w:after="0" w:line="360" w:lineRule="auto"/>
    </w:pPr>
    <w:rPr>
      <w:rFonts w:ascii="Arial" w:eastAsia="Times New Roman" w:hAnsi="Arial"/>
      <w:b w:val="1"/>
      <w:sz w:val="28"/>
      <w:lang w:val="en-GB"/>
    </w:rPr>
  </w:style>
  <w:style w:type="paragraph" w:styleId="Docsubtitle2" w:customStyle="1">
    <w:name w:val="Doc subtitle2"/>
    <w:basedOn w:val="10"/>
    <w:qFormat w:val="1"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styleId="Doctitle" w:customStyle="1">
    <w:name w:val="Doc title"/>
    <w:basedOn w:val="10"/>
    <w:qFormat w:val="1"/>
    <w:rsid w:val="00DE39D8"/>
    <w:pPr>
      <w:spacing w:after="0" w:line="360" w:lineRule="auto"/>
    </w:pPr>
    <w:rPr>
      <w:rFonts w:ascii="Arial" w:eastAsia="Times New Roman" w:hAnsi="Arial"/>
      <w:b w:val="1"/>
      <w:sz w:val="40"/>
      <w:lang w:val="en-GB"/>
    </w:rPr>
  </w:style>
  <w:style w:type="paragraph" w:styleId="22">
    <w:name w:val="Body Text Indent 2"/>
    <w:basedOn w:val="10"/>
    <w:link w:val="21"/>
    <w:semiHidden w:val="1"/>
    <w:qFormat w:val="1"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 w:val="1"/>
    <w:qFormat w:val="1"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styleId="16" w:customStyle="1">
    <w:name w:val="Абзац списка1"/>
    <w:basedOn w:val="10"/>
    <w:uiPriority w:val="99"/>
    <w:qFormat w:val="1"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3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styleId="aff4" w:customStyle="1">
    <w:name w:val="цветной текст"/>
    <w:basedOn w:val="10"/>
    <w:qFormat w:val="1"/>
    <w:rsid w:val="00DE39D8"/>
    <w:p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 w:val="1"/>
    <w:rsid w:val="00DE39D8"/>
    <w:pPr>
      <w:spacing w:after="200" w:line="276" w:lineRule="auto"/>
    </w:pPr>
    <w:rPr>
      <w:rFonts w:cs="Times New Roman" w:eastAsia="Times New Roman"/>
      <w:lang w:eastAsia="ru-RU"/>
    </w:rPr>
  </w:style>
  <w:style w:type="paragraph" w:styleId="aff5" w:customStyle="1">
    <w:name w:val="выделение цвет"/>
    <w:basedOn w:val="10"/>
    <w:qFormat w:val="1"/>
    <w:rsid w:val="00DE39D8"/>
    <w:pPr>
      <w:spacing w:after="0" w:line="360" w:lineRule="auto"/>
      <w:jc w:val="both"/>
    </w:pPr>
    <w:rPr>
      <w:rFonts w:eastAsia="Times New Roman"/>
      <w:b w:val="1"/>
      <w:color w:val="2c8de6"/>
      <w:szCs w:val="20"/>
      <w:u w:val="single"/>
      <w:lang w:eastAsia="ru-RU"/>
    </w:rPr>
  </w:style>
  <w:style w:type="paragraph" w:styleId="aff6">
    <w:name w:val="TOC Heading"/>
    <w:basedOn w:val="1"/>
    <w:next w:val="10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10"/>
    <w:next w:val="10"/>
    <w:autoRedefine w:val="1"/>
    <w:uiPriority w:val="39"/>
    <w:qFormat w:val="1"/>
    <w:rsid w:val="00DE39D8"/>
    <w:pPr>
      <w:spacing w:after="0" w:line="360" w:lineRule="auto"/>
      <w:ind w:left="220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 w:val="1"/>
    <w:uiPriority w:val="39"/>
    <w:unhideWhenUsed w:val="1"/>
    <w:qFormat w:val="1"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styleId="-10" w:customStyle="1">
    <w:name w:val="!Заголовок-1"/>
    <w:basedOn w:val="1"/>
    <w:qFormat w:val="1"/>
    <w:rsid w:val="00DE39D8"/>
    <w:rPr>
      <w:lang w:val="ru-RU"/>
    </w:rPr>
  </w:style>
  <w:style w:type="paragraph" w:styleId="-2" w:customStyle="1">
    <w:name w:val="!заголовок-2"/>
    <w:basedOn w:val="2"/>
    <w:qFormat w:val="1"/>
    <w:rsid w:val="00DE39D8"/>
    <w:rPr>
      <w:lang w:val="ru-RU"/>
    </w:rPr>
  </w:style>
  <w:style w:type="paragraph" w:styleId="aff7" w:customStyle="1">
    <w:name w:val="!Текст"/>
    <w:basedOn w:val="10"/>
    <w:qFormat w:val="1"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8" w:customStyle="1">
    <w:name w:val="!Синий заголовок текста"/>
    <w:basedOn w:val="aff5"/>
    <w:qFormat w:val="1"/>
    <w:rsid w:val="00DE39D8"/>
  </w:style>
  <w:style w:type="paragraph" w:styleId="aff9" w:customStyle="1">
    <w:name w:val="!Список с точками"/>
    <w:basedOn w:val="10"/>
    <w:qFormat w:val="1"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a">
    <w:name w:val="List Paragraph"/>
    <w:basedOn w:val="10"/>
    <w:uiPriority w:val="99"/>
    <w:qFormat w:val="1"/>
    <w:rsid w:val="00DE39D8"/>
    <w:pPr>
      <w:ind w:left="720"/>
      <w:contextualSpacing w:val="1"/>
    </w:pPr>
    <w:rPr>
      <w:rFonts w:ascii="Calibri" w:eastAsia="Calibri" w:hAnsi="Calibri"/>
    </w:rPr>
  </w:style>
  <w:style w:type="paragraph" w:styleId="affb">
    <w:name w:val="annotation text"/>
    <w:basedOn w:val="10"/>
    <w:semiHidden w:val="1"/>
    <w:unhideWhenUsed w:val="1"/>
    <w:qFormat w:val="1"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c">
    <w:name w:val="annotation subject"/>
    <w:basedOn w:val="affb"/>
    <w:next w:val="affb"/>
    <w:semiHidden w:val="1"/>
    <w:unhideWhenUsed w:val="1"/>
    <w:qFormat w:val="1"/>
    <w:rsid w:val="00DE39D8"/>
    <w:rPr>
      <w:b w:val="1"/>
      <w:bCs w:val="1"/>
    </w:rPr>
  </w:style>
  <w:style w:type="paragraph" w:styleId="ListaBlack" w:customStyle="1">
    <w:name w:val="Lista Black"/>
    <w:basedOn w:val="afa"/>
    <w:uiPriority w:val="1"/>
    <w:qFormat w:val="1"/>
    <w:rsid w:val="00DE39D8"/>
    <w:pPr>
      <w:keepNext w:val="1"/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styleId="143" w:customStyle="1">
    <w:name w:val="Основной текст (14)_3"/>
    <w:basedOn w:val="10"/>
    <w:link w:val="14"/>
    <w:qFormat w:val="1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paragraph" w:styleId="26" w:customStyle="1">
    <w:name w:val="Абзац списка2"/>
    <w:basedOn w:val="10"/>
    <w:qFormat w:val="1"/>
    <w:rsid w:val="003C79C6"/>
    <w:pPr>
      <w:ind w:left="720"/>
      <w:contextualSpacing w:val="1"/>
    </w:pPr>
    <w:rPr>
      <w:rFonts w:ascii="Calibri" w:eastAsia="Times New Roman" w:hAnsi="Calibri"/>
    </w:rPr>
  </w:style>
  <w:style w:type="paragraph" w:styleId="Default" w:customStyle="1">
    <w:name w:val="Default"/>
    <w:uiPriority w:val="99"/>
    <w:qFormat w:val="1"/>
    <w:rsid w:val="00721B62"/>
    <w:rPr>
      <w:rFonts w:ascii="Symbol" w:cs="Symbol" w:eastAsia="Times New Roman" w:hAnsi="Symbol"/>
      <w:color w:val="000000"/>
      <w:sz w:val="24"/>
      <w:szCs w:val="24"/>
      <w:lang w:eastAsia="ru-RU"/>
    </w:rPr>
  </w:style>
  <w:style w:type="paragraph" w:styleId="32" w:customStyle="1">
    <w:name w:val="Абзац списка3"/>
    <w:basedOn w:val="10"/>
    <w:qFormat w:val="1"/>
    <w:rsid w:val="004E6D2E"/>
    <w:pPr>
      <w:ind w:left="720"/>
      <w:contextualSpacing w:val="1"/>
    </w:pPr>
    <w:rPr>
      <w:rFonts w:ascii="Calibri" w:eastAsia="Times New Roman" w:hAnsi="Calibri"/>
    </w:rPr>
  </w:style>
  <w:style w:type="paragraph" w:styleId="affd">
    <w:name w:val="Normal (Web)"/>
    <w:basedOn w:val="10"/>
    <w:uiPriority w:val="99"/>
    <w:semiHidden w:val="1"/>
    <w:unhideWhenUsed w:val="1"/>
    <w:qFormat w:val="1"/>
    <w:rsid w:val="00C00353"/>
  </w:style>
  <w:style w:type="paragraph" w:styleId="af7">
    <w:name w:val="Title"/>
    <w:basedOn w:val="10"/>
    <w:next w:val="10"/>
    <w:link w:val="12"/>
    <w:qFormat w:val="1"/>
    <w:rsid w:val="00C00353"/>
    <w:pPr>
      <w:spacing w:after="0" w:line="240" w:lineRule="auto"/>
      <w:contextualSpacing w:val="1"/>
    </w:pPr>
    <w:rPr>
      <w:rFonts w:ascii="Cambria" w:eastAsia="Times New Roman" w:hAnsi="Cambria"/>
      <w:b w:val="1"/>
      <w:bCs w:val="1"/>
      <w:kern w:val="2"/>
      <w:sz w:val="32"/>
      <w:szCs w:val="32"/>
    </w:rPr>
  </w:style>
  <w:style w:type="paragraph" w:styleId="affe" w:customStyle="1">
    <w:name w:val="Содержимое врезки"/>
    <w:basedOn w:val="10"/>
    <w:qFormat w:val="1"/>
  </w:style>
  <w:style w:type="table" w:styleId="afff">
    <w:name w:val="Table Grid"/>
    <w:basedOn w:val="a1"/>
    <w:rsid w:val="00DE39D8"/>
    <w:rPr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f0">
    <w:name w:val="Hyperlink"/>
    <w:basedOn w:val="a0"/>
    <w:uiPriority w:val="99"/>
    <w:unhideWhenUsed w:val="1"/>
    <w:rsid w:val="00AB370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hyperlink" Target="http://forum.worldskills.ru/" TargetMode="External"/><Relationship Id="rId22" Type="http://schemas.openxmlformats.org/officeDocument/2006/relationships/header" Target="header2.xml"/><Relationship Id="rId10" Type="http://schemas.openxmlformats.org/officeDocument/2006/relationships/hyperlink" Target="http://www.copyright.ru/ru/documents/registraciy_avtorskih_prav/" TargetMode="External"/><Relationship Id="rId21" Type="http://schemas.openxmlformats.org/officeDocument/2006/relationships/image" Target="media/image8.png"/><Relationship Id="rId13" Type="http://schemas.openxmlformats.org/officeDocument/2006/relationships/hyperlink" Target="http://forum.worldskills.ru/" TargetMode="External"/><Relationship Id="rId24" Type="http://schemas.openxmlformats.org/officeDocument/2006/relationships/footer" Target="footer1.xml"/><Relationship Id="rId12" Type="http://schemas.openxmlformats.org/officeDocument/2006/relationships/hyperlink" Target="http://forum.worldskills.ru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ru/documents/zashita_avtorskih_prav/znak_ohrani_avtorskih_i_smegnih_prav/" TargetMode="External"/><Relationship Id="rId15" Type="http://schemas.openxmlformats.org/officeDocument/2006/relationships/hyperlink" Target="http://forum.worldskills.ru/" TargetMode="External"/><Relationship Id="rId14" Type="http://schemas.openxmlformats.org/officeDocument/2006/relationships/hyperlink" Target="http://forum.worldskills.ru/" TargetMode="External"/><Relationship Id="rId17" Type="http://schemas.openxmlformats.org/officeDocument/2006/relationships/image" Target="media/image6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2.jpg"/><Relationship Id="rId8" Type="http://schemas.openxmlformats.org/officeDocument/2006/relationships/hyperlink" Target="http://www.copyright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mBtT4fwq6y8ZwMT3UHRYW2rIw==">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2021-07-28T09:35:00Z</dcterms:created>
  <dc:creator>Copyright © «Ворлдскиллс Россия» (Геномная инженерия)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